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B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AP2</w:t>
      </w:r>
      <w:r w:rsidR="00444FD8">
        <w:rPr>
          <w:rFonts w:ascii="Arial" w:hAnsi="Arial" w:cs="Arial"/>
          <w:b/>
          <w:iCs/>
          <w:sz w:val="20"/>
          <w:szCs w:val="20"/>
        </w:rPr>
        <w:t>80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 w:rsidRPr="000051C0">
        <w:rPr>
          <w:rFonts w:ascii="Arial" w:hAnsi="Arial" w:cs="Arial"/>
          <w:b/>
          <w:iCs/>
          <w:sz w:val="20"/>
          <w:szCs w:val="20"/>
        </w:rPr>
        <w:t>–</w:t>
      </w:r>
      <w:r w:rsidR="00F23953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444FD8" w:rsidRPr="00444FD8">
        <w:rPr>
          <w:rFonts w:ascii="Arial" w:hAnsi="Arial" w:cs="Arial"/>
          <w:b/>
          <w:iCs/>
          <w:sz w:val="20"/>
          <w:szCs w:val="20"/>
        </w:rPr>
        <w:t xml:space="preserve">Manutenzione e Supporto SAP Business </w:t>
      </w:r>
      <w:proofErr w:type="spellStart"/>
      <w:r w:rsidR="00444FD8" w:rsidRPr="00444FD8">
        <w:rPr>
          <w:rFonts w:ascii="Arial" w:hAnsi="Arial" w:cs="Arial"/>
          <w:b/>
          <w:iCs/>
          <w:sz w:val="20"/>
          <w:szCs w:val="20"/>
        </w:rPr>
        <w:t>One</w:t>
      </w:r>
      <w:proofErr w:type="spellEnd"/>
      <w:r w:rsidR="00444FD8" w:rsidRPr="00444FD8">
        <w:rPr>
          <w:rFonts w:ascii="Arial" w:hAnsi="Arial" w:cs="Arial"/>
          <w:b/>
          <w:iCs/>
          <w:sz w:val="20"/>
          <w:szCs w:val="20"/>
        </w:rPr>
        <w:t xml:space="preserve">, Corporate Planner e </w:t>
      </w:r>
      <w:proofErr w:type="spellStart"/>
      <w:r w:rsidR="00444FD8" w:rsidRPr="00444FD8">
        <w:rPr>
          <w:rFonts w:ascii="Arial" w:hAnsi="Arial" w:cs="Arial"/>
          <w:b/>
          <w:iCs/>
          <w:sz w:val="20"/>
          <w:szCs w:val="20"/>
        </w:rPr>
        <w:t>Qlik</w:t>
      </w:r>
      <w:proofErr w:type="spellEnd"/>
      <w:r w:rsidR="00444FD8" w:rsidRPr="00444FD8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="00444FD8" w:rsidRPr="00444FD8">
        <w:rPr>
          <w:rFonts w:ascii="Arial" w:hAnsi="Arial" w:cs="Arial"/>
          <w:b/>
          <w:iCs/>
          <w:sz w:val="20"/>
          <w:szCs w:val="20"/>
        </w:rPr>
        <w:t>View</w:t>
      </w:r>
      <w:bookmarkStart w:id="0" w:name="_GoBack"/>
      <w:bookmarkEnd w:id="0"/>
      <w:proofErr w:type="spellEnd"/>
      <w:r w:rsidR="00F20147">
        <w:rPr>
          <w:rFonts w:ascii="Arial" w:hAnsi="Arial" w:cs="Arial"/>
          <w:b/>
          <w:iCs/>
          <w:sz w:val="20"/>
          <w:szCs w:val="20"/>
        </w:rPr>
        <w:t>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dello studio/società 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codice fiscale n. 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 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LETT.B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195C4D">
      <w:pPr>
        <w:pStyle w:val="Corpodeltesto3"/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left="360" w:right="-55"/>
        <w:jc w:val="both"/>
        <w:textAlignment w:val="baseline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propria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dei servizi in oggetto;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>
        <w:rPr>
          <w:rFonts w:ascii="Arial" w:hAnsi="Arial" w:cs="Arial"/>
          <w:sz w:val="20"/>
          <w:szCs w:val="20"/>
        </w:rPr>
        <w:t>di capacità economico</w:t>
      </w:r>
      <w:r>
        <w:rPr>
          <w:rFonts w:ascii="Arial" w:hAnsi="Arial" w:cs="Arial"/>
          <w:sz w:val="20"/>
          <w:szCs w:val="20"/>
        </w:rPr>
        <w:t xml:space="preserve"> finanziaria e tecnic</w:t>
      </w:r>
      <w:r w:rsidR="00092C1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professionale indicati agli artt. 6.2 e 6.3 dell’</w:t>
      </w:r>
      <w:r w:rsidRPr="00C978A1">
        <w:rPr>
          <w:rFonts w:ascii="Arial" w:hAnsi="Arial" w:cs="Arial"/>
          <w:sz w:val="20"/>
          <w:szCs w:val="20"/>
        </w:rPr>
        <w:t>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lastRenderedPageBreak/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44FD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  <w:footnote w:id="1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A75B5-19FD-4E86-9E5D-45AE2A20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3996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60</cp:revision>
  <cp:lastPrinted>2013-11-07T13:35:00Z</cp:lastPrinted>
  <dcterms:created xsi:type="dcterms:W3CDTF">2013-05-09T13:57:00Z</dcterms:created>
  <dcterms:modified xsi:type="dcterms:W3CDTF">2017-08-01T13:32:00Z</dcterms:modified>
</cp:coreProperties>
</file>